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sz w:val="24"/>
          <w:szCs w:val="24"/>
          <w:lang w:eastAsia="ru-RU"/>
        </w:rPr>
        <w:t>Ўзбекистон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Касаба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уюшмалари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Федерацияси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Кенгаши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“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Ўзбекистон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касаба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уюшмалари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Федерациясида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ахборот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-коммуникация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технологияларини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ривожлантиришнинг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2014-2020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йилларга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мўлжалланган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Стратегик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дастури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”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доирасидаги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тадбирларни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амалга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ошириш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бўйича</w:t>
      </w:r>
      <w:proofErr w:type="spellEnd"/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> </w:t>
      </w:r>
    </w:p>
    <w:p w:rsidR="002961FF" w:rsidRPr="002961FF" w:rsidRDefault="002961FF" w:rsidP="002961FF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b/>
          <w:bCs/>
          <w:sz w:val="24"/>
          <w:szCs w:val="24"/>
          <w:lang w:eastAsia="ru-RU"/>
        </w:rPr>
        <w:t>ТЕНДЕР САВДОЛАРИ ЎТКАЗИЛИШИНИ ЭЬЛОН ҚИЛАДИ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> 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2961FF">
        <w:rPr>
          <w:rFonts w:eastAsia="Times New Roman"/>
          <w:b/>
          <w:bCs/>
          <w:sz w:val="24"/>
          <w:szCs w:val="24"/>
          <w:lang w:eastAsia="ru-RU"/>
        </w:rPr>
        <w:t>Лойи</w:t>
      </w:r>
      <w:proofErr w:type="gramEnd"/>
      <w:r w:rsidRPr="002961FF">
        <w:rPr>
          <w:rFonts w:eastAsia="Times New Roman"/>
          <w:b/>
          <w:bCs/>
          <w:sz w:val="24"/>
          <w:szCs w:val="24"/>
          <w:lang w:eastAsia="ru-RU"/>
        </w:rPr>
        <w:t>ҳа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номи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2961FF">
        <w:rPr>
          <w:rFonts w:eastAsia="Times New Roman"/>
          <w:sz w:val="24"/>
          <w:szCs w:val="24"/>
          <w:lang w:eastAsia="ru-RU"/>
        </w:rPr>
        <w:t>“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Ўзбекистон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Касаба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уюшмалари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Федерациясининг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комплекс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интергаллашган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ахборот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тизимини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яратиш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(шифр:</w:t>
      </w:r>
      <w:proofErr w:type="gram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61FF">
        <w:rPr>
          <w:rFonts w:eastAsia="Times New Roman"/>
          <w:sz w:val="24"/>
          <w:szCs w:val="24"/>
          <w:lang w:eastAsia="ru-RU"/>
        </w:rPr>
        <w:t>KasabaKIAT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)” (2-босқич).</w:t>
      </w:r>
      <w:proofErr w:type="gramEnd"/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Лойиҳанинг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максимал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қиймати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: 2,2 миллиард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сў</w:t>
      </w:r>
      <w:proofErr w:type="gramStart"/>
      <w:r w:rsidRPr="002961FF">
        <w:rPr>
          <w:rFonts w:eastAsia="Times New Roman"/>
          <w:sz w:val="24"/>
          <w:szCs w:val="24"/>
          <w:lang w:eastAsia="ru-RU"/>
        </w:rPr>
        <w:t>м</w:t>
      </w:r>
      <w:proofErr w:type="spellEnd"/>
      <w:proofErr w:type="gramEnd"/>
      <w:r w:rsidRPr="002961FF">
        <w:rPr>
          <w:rFonts w:eastAsia="Times New Roman"/>
          <w:sz w:val="24"/>
          <w:szCs w:val="24"/>
          <w:lang w:eastAsia="ru-RU"/>
        </w:rPr>
        <w:t>.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Лойиҳани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амалга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ошириш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муддати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2961FF">
        <w:rPr>
          <w:rFonts w:eastAsia="Times New Roman"/>
          <w:sz w:val="24"/>
          <w:szCs w:val="24"/>
          <w:lang w:eastAsia="ru-RU"/>
        </w:rPr>
        <w:t xml:space="preserve"> 2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йил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(январь, 2017 й. – декабрь, 2018 й).</w:t>
      </w:r>
    </w:p>
    <w:p w:rsidR="002961FF" w:rsidRPr="002961FF" w:rsidRDefault="002961FF" w:rsidP="00296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савдолари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очиқ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турда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ўтказилиб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унда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танлов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шартларини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бажара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оладиган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мулкчилик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шаклидан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қатъий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назар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юридик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мақомга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эга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бўлган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ҳамда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Ўзбекистон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Республикаси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қонунчилигида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савдоларида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иштирок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этиши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тақиқланмаган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барча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корхона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ва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ташкилотлар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иштирок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этишлари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мумкин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.</w:t>
      </w:r>
    </w:p>
    <w:p w:rsidR="002961FF" w:rsidRPr="002961FF" w:rsidRDefault="002961FF" w:rsidP="00296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Ишчи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r w:rsidRPr="002961FF">
        <w:rPr>
          <w:rFonts w:eastAsia="Times New Roman"/>
          <w:b/>
          <w:bCs/>
          <w:sz w:val="24"/>
          <w:szCs w:val="24"/>
          <w:lang w:eastAsia="ru-RU"/>
        </w:rPr>
        <w:t>орган</w:t>
      </w:r>
      <w:r w:rsidRPr="002961FF">
        <w:rPr>
          <w:rFonts w:eastAsia="Times New Roman"/>
          <w:sz w:val="24"/>
          <w:szCs w:val="24"/>
          <w:lang w:eastAsia="ru-RU"/>
        </w:rPr>
        <w:t xml:space="preserve">: «TUNE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Consulting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» МЧЖ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sz w:val="24"/>
          <w:szCs w:val="24"/>
          <w:lang w:eastAsia="ru-RU"/>
        </w:rPr>
        <w:t>Манзил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Тошкент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ш., 100015,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Ойбек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кўчаси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, 59,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61FF">
        <w:rPr>
          <w:rFonts w:eastAsia="Times New Roman"/>
          <w:sz w:val="24"/>
          <w:szCs w:val="24"/>
          <w:lang w:eastAsia="ru-RU"/>
        </w:rPr>
        <w:t>Телефонлар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: +998 95 142-91-16 (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), +998 90 979-03-68 (моб.)</w:t>
      </w:r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>e-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: </w:t>
      </w:r>
      <w:hyperlink r:id="rId6" w:history="1">
        <w:r w:rsidRPr="002961F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info@tuneconsulting.net</w:t>
        </w:r>
      </w:hyperlink>
    </w:p>
    <w:p w:rsidR="002961FF" w:rsidRPr="002961FF" w:rsidRDefault="002961FF" w:rsidP="002961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> </w:t>
      </w:r>
    </w:p>
    <w:p w:rsidR="002961FF" w:rsidRPr="002961FF" w:rsidRDefault="002961FF" w:rsidP="00296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савдоларида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қатнашиш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шартлари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2961FF">
        <w:rPr>
          <w:rFonts w:eastAsia="Times New Roman"/>
          <w:sz w:val="24"/>
          <w:szCs w:val="24"/>
          <w:lang w:eastAsia="ru-RU"/>
        </w:rPr>
        <w:t xml:space="preserve"> 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ҳужжатларида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кўрсатилган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.</w:t>
      </w:r>
    </w:p>
    <w:p w:rsidR="002961FF" w:rsidRPr="002961FF" w:rsidRDefault="002961FF" w:rsidP="00296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ҳужжатларининг</w:t>
      </w:r>
      <w:proofErr w:type="spellEnd"/>
      <w:r w:rsidRPr="002961F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b/>
          <w:bCs/>
          <w:sz w:val="24"/>
          <w:szCs w:val="24"/>
          <w:lang w:eastAsia="ru-RU"/>
        </w:rPr>
        <w:t>нархи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: 300 000 (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уч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юз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сў</w:t>
      </w:r>
      <w:proofErr w:type="gramStart"/>
      <w:r w:rsidRPr="002961FF">
        <w:rPr>
          <w:rFonts w:eastAsia="Times New Roman"/>
          <w:sz w:val="24"/>
          <w:szCs w:val="24"/>
          <w:lang w:eastAsia="ru-RU"/>
        </w:rPr>
        <w:t>м</w:t>
      </w:r>
      <w:proofErr w:type="spellEnd"/>
      <w:proofErr w:type="gramEnd"/>
      <w:r w:rsidRPr="002961FF">
        <w:rPr>
          <w:rFonts w:eastAsia="Times New Roman"/>
          <w:sz w:val="24"/>
          <w:szCs w:val="24"/>
          <w:lang w:eastAsia="ru-RU"/>
        </w:rPr>
        <w:t>.</w:t>
      </w:r>
    </w:p>
    <w:p w:rsidR="002961FF" w:rsidRPr="002961FF" w:rsidRDefault="002961FF" w:rsidP="00296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ҳужжатларини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олиш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учун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юқорида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кўрсатилган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манзил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бўйича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комиссиясининг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ишчи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органига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мурожаат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этиш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мумкин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(тендер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ҳужжатларини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олиш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учун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учинчи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шахс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томонидан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пул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тўловларини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амалга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оширилиши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тақиқланади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).</w:t>
      </w:r>
    </w:p>
    <w:p w:rsidR="002961FF" w:rsidRPr="002961FF" w:rsidRDefault="002961FF" w:rsidP="00296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савдосида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қатнашиш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учун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ариза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ва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таклифлар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Ишчи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орган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томонидан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юқорида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кўрсатилган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манзил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бўйича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2016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йил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30 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декабр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соат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17:00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гача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қабул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қилинади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шанба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ва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якшанба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кунларидан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ташқари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>).</w:t>
      </w:r>
    </w:p>
    <w:p w:rsidR="004A489F" w:rsidRPr="002961FF" w:rsidRDefault="002961FF" w:rsidP="00296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961FF">
        <w:rPr>
          <w:rFonts w:eastAsia="Times New Roman"/>
          <w:sz w:val="24"/>
          <w:szCs w:val="24"/>
          <w:lang w:eastAsia="ru-RU"/>
        </w:rPr>
        <w:t xml:space="preserve">Тендер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таклифини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кафолатловчи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закалат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миқдори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лойиҳанинг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максимал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қийматининг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1%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ташкил</w:t>
      </w:r>
      <w:proofErr w:type="spellEnd"/>
      <w:r w:rsidRPr="002961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961FF">
        <w:rPr>
          <w:rFonts w:eastAsia="Times New Roman"/>
          <w:sz w:val="24"/>
          <w:szCs w:val="24"/>
          <w:lang w:eastAsia="ru-RU"/>
        </w:rPr>
        <w:t>этади</w:t>
      </w:r>
      <w:bookmarkStart w:id="0" w:name="_GoBack"/>
      <w:bookmarkEnd w:id="0"/>
      <w:proofErr w:type="spellEnd"/>
    </w:p>
    <w:sectPr w:rsidR="004A489F" w:rsidRPr="0029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6D21"/>
    <w:multiLevelType w:val="multilevel"/>
    <w:tmpl w:val="B9D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F1A6C"/>
    <w:multiLevelType w:val="multilevel"/>
    <w:tmpl w:val="C11CC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F"/>
    <w:rsid w:val="002961FF"/>
    <w:rsid w:val="004A489F"/>
    <w:rsid w:val="00B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D"/>
  </w:style>
  <w:style w:type="paragraph" w:styleId="3">
    <w:name w:val="heading 3"/>
    <w:basedOn w:val="a"/>
    <w:link w:val="30"/>
    <w:uiPriority w:val="9"/>
    <w:qFormat/>
    <w:rsid w:val="00B349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90D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49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61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61FF"/>
    <w:rPr>
      <w:b/>
      <w:bCs/>
    </w:rPr>
  </w:style>
  <w:style w:type="character" w:styleId="a6">
    <w:name w:val="Hyperlink"/>
    <w:basedOn w:val="a0"/>
    <w:uiPriority w:val="99"/>
    <w:semiHidden/>
    <w:unhideWhenUsed/>
    <w:rsid w:val="00296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D"/>
  </w:style>
  <w:style w:type="paragraph" w:styleId="3">
    <w:name w:val="heading 3"/>
    <w:basedOn w:val="a"/>
    <w:link w:val="30"/>
    <w:uiPriority w:val="9"/>
    <w:qFormat/>
    <w:rsid w:val="00B349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90D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49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61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61FF"/>
    <w:rPr>
      <w:b/>
      <w:bCs/>
    </w:rPr>
  </w:style>
  <w:style w:type="character" w:styleId="a6">
    <w:name w:val="Hyperlink"/>
    <w:basedOn w:val="a0"/>
    <w:uiPriority w:val="99"/>
    <w:semiHidden/>
    <w:unhideWhenUsed/>
    <w:rsid w:val="0029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uneconsulting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IKT-1</dc:creator>
  <cp:lastModifiedBy>IKT-1</cp:lastModifiedBy>
  <cp:revision>1</cp:revision>
  <dcterms:created xsi:type="dcterms:W3CDTF">2017-06-22T07:35:00Z</dcterms:created>
  <dcterms:modified xsi:type="dcterms:W3CDTF">2017-06-22T07:35:00Z</dcterms:modified>
</cp:coreProperties>
</file>